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w:t>
      </w:r>
      <w:bookmarkStart w:id="0" w:name="_GoBack"/>
      <w:r>
        <w:rPr>
          <w:rFonts w:hint="eastAsia" w:ascii="方正仿宋简体" w:hAnsi="方正仿宋简体" w:eastAsia="方正仿宋简体" w:cs="方正仿宋简体"/>
          <w:b/>
          <w:bCs/>
          <w:sz w:val="32"/>
          <w:szCs w:val="32"/>
          <w:lang w:val="en-US" w:eastAsia="zh-CN"/>
        </w:rPr>
        <w:t>校园监控运维服务项目清单表</w:t>
      </w:r>
    </w:p>
    <w:bookmarkEnd w:id="0"/>
    <w:tbl>
      <w:tblPr>
        <w:tblStyle w:val="2"/>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78"/>
        <w:gridCol w:w="4997"/>
        <w:gridCol w:w="119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8" w:type="dxa"/>
            <w:shd w:val="clear" w:color="auto" w:fill="auto"/>
            <w:vAlign w:val="center"/>
          </w:tcPr>
          <w:p>
            <w:pPr>
              <w:pStyle w:val="4"/>
              <w:widowControl w:val="0"/>
              <w:jc w:val="center"/>
              <w:outlineLvl w:val="2"/>
              <w:rPr>
                <w:rFonts w:hint="default" w:ascii="宋体" w:hAnsi="宋体" w:cs="宋体"/>
                <w:b/>
                <w:color w:val="auto"/>
                <w:sz w:val="24"/>
                <w:szCs w:val="24"/>
                <w:lang w:eastAsia="zh-CN"/>
              </w:rPr>
            </w:pPr>
            <w:r>
              <w:rPr>
                <w:rFonts w:ascii="宋体" w:hAnsi="宋体" w:cs="宋体"/>
                <w:b/>
                <w:color w:val="auto"/>
                <w:sz w:val="24"/>
                <w:szCs w:val="24"/>
                <w:lang w:eastAsia="zh-CN"/>
              </w:rPr>
              <w:t>序号</w:t>
            </w:r>
          </w:p>
        </w:tc>
        <w:tc>
          <w:tcPr>
            <w:tcW w:w="1478" w:type="dxa"/>
            <w:shd w:val="clear" w:color="auto" w:fill="auto"/>
            <w:vAlign w:val="center"/>
          </w:tcPr>
          <w:p>
            <w:pPr>
              <w:pStyle w:val="4"/>
              <w:widowControl w:val="0"/>
              <w:jc w:val="center"/>
              <w:outlineLvl w:val="2"/>
              <w:rPr>
                <w:rFonts w:hint="default" w:ascii="宋体" w:hAnsi="宋体" w:cs="宋体"/>
                <w:b/>
                <w:color w:val="auto"/>
                <w:sz w:val="24"/>
                <w:szCs w:val="24"/>
                <w:lang w:eastAsia="zh-CN"/>
              </w:rPr>
            </w:pPr>
            <w:r>
              <w:rPr>
                <w:rFonts w:ascii="宋体" w:hAnsi="宋体" w:cs="宋体"/>
                <w:b/>
                <w:color w:val="auto"/>
                <w:sz w:val="24"/>
                <w:szCs w:val="24"/>
                <w:lang w:eastAsia="zh-CN"/>
              </w:rPr>
              <w:t>服务单项</w:t>
            </w:r>
          </w:p>
        </w:tc>
        <w:tc>
          <w:tcPr>
            <w:tcW w:w="4997" w:type="dxa"/>
            <w:shd w:val="clear" w:color="auto" w:fill="auto"/>
            <w:vAlign w:val="center"/>
          </w:tcPr>
          <w:p>
            <w:pPr>
              <w:pStyle w:val="4"/>
              <w:widowControl w:val="0"/>
              <w:jc w:val="center"/>
              <w:outlineLvl w:val="2"/>
              <w:rPr>
                <w:rFonts w:hint="default" w:ascii="宋体" w:hAnsi="宋体" w:cs="宋体"/>
                <w:b/>
                <w:color w:val="auto"/>
                <w:sz w:val="24"/>
                <w:szCs w:val="24"/>
                <w:lang w:eastAsia="zh-CN"/>
              </w:rPr>
            </w:pPr>
            <w:r>
              <w:rPr>
                <w:rFonts w:ascii="宋体" w:hAnsi="宋体" w:cs="宋体"/>
                <w:b/>
                <w:color w:val="auto"/>
                <w:sz w:val="24"/>
                <w:szCs w:val="24"/>
                <w:lang w:eastAsia="zh-CN"/>
              </w:rPr>
              <w:t>服务描述</w:t>
            </w:r>
          </w:p>
        </w:tc>
        <w:tc>
          <w:tcPr>
            <w:tcW w:w="1191" w:type="dxa"/>
            <w:shd w:val="clear" w:color="auto" w:fill="auto"/>
            <w:vAlign w:val="center"/>
          </w:tcPr>
          <w:p>
            <w:pPr>
              <w:pStyle w:val="4"/>
              <w:widowControl w:val="0"/>
              <w:jc w:val="center"/>
              <w:outlineLvl w:val="2"/>
              <w:rPr>
                <w:rFonts w:hint="default" w:ascii="宋体" w:hAnsi="宋体" w:cs="宋体"/>
                <w:b/>
                <w:color w:val="auto"/>
                <w:sz w:val="24"/>
                <w:szCs w:val="24"/>
                <w:lang w:eastAsia="zh-CN"/>
              </w:rPr>
            </w:pPr>
            <w:r>
              <w:rPr>
                <w:rFonts w:ascii="宋体" w:hAnsi="宋体" w:cs="宋体"/>
                <w:b/>
                <w:color w:val="auto"/>
                <w:sz w:val="24"/>
                <w:szCs w:val="24"/>
                <w:lang w:eastAsia="zh-CN"/>
              </w:rPr>
              <w:t>服务次数</w:t>
            </w:r>
          </w:p>
        </w:tc>
        <w:tc>
          <w:tcPr>
            <w:tcW w:w="1072" w:type="dxa"/>
            <w:shd w:val="clear" w:color="auto" w:fill="auto"/>
            <w:vAlign w:val="center"/>
          </w:tcPr>
          <w:p>
            <w:pPr>
              <w:pStyle w:val="4"/>
              <w:widowControl w:val="0"/>
              <w:jc w:val="center"/>
              <w:outlineLvl w:val="2"/>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预计费用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1</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全校监控的运作维护</w:t>
            </w:r>
          </w:p>
        </w:tc>
        <w:tc>
          <w:tcPr>
            <w:tcW w:w="4997" w:type="dxa"/>
            <w:shd w:val="clear" w:color="auto" w:fill="auto"/>
          </w:tcPr>
          <w:p>
            <w:pPr>
              <w:pStyle w:val="4"/>
              <w:widowControl w:val="0"/>
              <w:jc w:val="both"/>
              <w:outlineLvl w:val="2"/>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维修</w:t>
            </w:r>
            <w:r>
              <w:rPr>
                <w:rFonts w:ascii="宋体" w:hAnsi="宋体" w:cs="宋体"/>
                <w:bCs/>
                <w:color w:val="auto"/>
                <w:sz w:val="24"/>
                <w:szCs w:val="24"/>
                <w:lang w:eastAsia="zh-CN"/>
              </w:rPr>
              <w:t>设备（终端、线路、服务器、显示屏）、安装调试等</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保证能正常使用。包含：</w:t>
            </w:r>
          </w:p>
          <w:p>
            <w:pPr>
              <w:pStyle w:val="4"/>
              <w:widowControl w:val="0"/>
              <w:numPr>
                <w:ilvl w:val="0"/>
                <w:numId w:val="1"/>
              </w:numPr>
              <w:jc w:val="both"/>
              <w:outlineLvl w:val="2"/>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每半年一次设备的除尘、清理，扫净监控设备显露的尘土，对摄像机、防护罩等部件要卸下彻底吹风除尘，之后用无水酒精棉将各个镜头擦干净，调整清晰度，防止由于机器运转、静电等因素将尘土吸入监控设备机体内，确保机器正常运行。</w:t>
            </w:r>
          </w:p>
          <w:p>
            <w:pPr>
              <w:pStyle w:val="4"/>
              <w:widowControl w:val="0"/>
              <w:numPr>
                <w:ilvl w:val="0"/>
                <w:numId w:val="1"/>
              </w:numPr>
              <w:jc w:val="both"/>
              <w:outlineLvl w:val="2"/>
              <w:rPr>
                <w:rFonts w:hint="default" w:ascii="宋体" w:hAnsi="宋体" w:cs="宋体"/>
                <w:bCs/>
                <w:color w:val="auto"/>
                <w:sz w:val="24"/>
                <w:szCs w:val="24"/>
                <w:lang w:val="en-US" w:eastAsia="zh-CN"/>
              </w:rPr>
            </w:pPr>
            <w:r>
              <w:rPr>
                <w:rFonts w:hint="default" w:ascii="宋体" w:hAnsi="宋体" w:cs="宋体"/>
                <w:bCs/>
                <w:color w:val="auto"/>
                <w:sz w:val="24"/>
                <w:szCs w:val="24"/>
                <w:lang w:val="en-US" w:eastAsia="zh-CN"/>
              </w:rPr>
              <w:t>根据监控系统各部份设备的使用说明，每月检测其各项技术参数及监控系统传输线路质量，处理故障隐患，协助监控主管设定使用级别等名种数据，确保各部份设备各项功能良好，能够正常运行。</w:t>
            </w:r>
          </w:p>
          <w:p>
            <w:pPr>
              <w:pStyle w:val="4"/>
              <w:widowControl w:val="0"/>
              <w:numPr>
                <w:ilvl w:val="0"/>
                <w:numId w:val="1"/>
              </w:numPr>
              <w:jc w:val="both"/>
              <w:outlineLvl w:val="2"/>
              <w:rPr>
                <w:rFonts w:hint="default" w:ascii="宋体" w:hAnsi="宋体" w:cs="宋体"/>
                <w:bCs/>
                <w:color w:val="auto"/>
                <w:sz w:val="24"/>
                <w:szCs w:val="24"/>
                <w:lang w:val="en-US" w:eastAsia="zh-CN"/>
              </w:rPr>
            </w:pPr>
            <w:r>
              <w:rPr>
                <w:rFonts w:hint="default" w:ascii="宋体" w:hAnsi="宋体" w:cs="宋体"/>
                <w:bCs/>
                <w:color w:val="auto"/>
                <w:sz w:val="24"/>
                <w:szCs w:val="24"/>
                <w:lang w:val="en-US" w:eastAsia="zh-CN"/>
              </w:rPr>
              <w:t>对容易老化的监控设备部件每月一次进行全面检查，一旦发现老化现象应及时更换、维修，如视频头等。</w:t>
            </w:r>
          </w:p>
          <w:p>
            <w:pPr>
              <w:pStyle w:val="4"/>
              <w:widowControl w:val="0"/>
              <w:numPr>
                <w:ilvl w:val="0"/>
                <w:numId w:val="1"/>
              </w:numPr>
              <w:jc w:val="both"/>
              <w:outlineLvl w:val="2"/>
              <w:rPr>
                <w:rFonts w:hint="default" w:ascii="宋体" w:hAnsi="宋体" w:cs="宋体"/>
                <w:bCs/>
                <w:color w:val="auto"/>
                <w:sz w:val="24"/>
                <w:szCs w:val="24"/>
                <w:lang w:val="en-US" w:eastAsia="zh-CN"/>
              </w:rPr>
            </w:pPr>
            <w:r>
              <w:rPr>
                <w:rFonts w:hint="default" w:ascii="宋体" w:hAnsi="宋体" w:cs="宋体"/>
                <w:bCs/>
                <w:color w:val="auto"/>
                <w:sz w:val="24"/>
                <w:szCs w:val="24"/>
                <w:lang w:val="en-US" w:eastAsia="zh-CN"/>
              </w:rPr>
              <w:t>对长时间工作的监控设备每月定期维护一次，如硬盘录像机长时间工作会产生较多的热量，一旦其电风扇有故障，会影响排热，以免硬盘录像机工作不正常。面系统的运行检查，网络及桌面系统的病毒防御。</w:t>
            </w:r>
          </w:p>
        </w:tc>
        <w:tc>
          <w:tcPr>
            <w:tcW w:w="1191"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服务期内长期提供</w:t>
            </w:r>
          </w:p>
        </w:tc>
        <w:tc>
          <w:tcPr>
            <w:tcW w:w="1072" w:type="dxa"/>
            <w:vMerge w:val="restart"/>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49000元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运维驻场</w:t>
            </w:r>
          </w:p>
        </w:tc>
        <w:tc>
          <w:tcPr>
            <w:tcW w:w="4997" w:type="dxa"/>
            <w:shd w:val="clear" w:color="auto" w:fill="auto"/>
          </w:tcPr>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提供监控服务，</w:t>
            </w:r>
            <w:r>
              <w:rPr>
                <w:rFonts w:hint="eastAsia" w:ascii="宋体" w:hAnsi="宋体" w:cs="宋体"/>
                <w:bCs/>
                <w:color w:val="auto"/>
                <w:sz w:val="24"/>
                <w:szCs w:val="24"/>
                <w:lang w:val="en-US" w:eastAsia="zh-CN"/>
              </w:rPr>
              <w:t>定期</w:t>
            </w:r>
            <w:r>
              <w:rPr>
                <w:rFonts w:ascii="宋体" w:hAnsi="宋体" w:cs="宋体"/>
                <w:bCs/>
                <w:color w:val="auto"/>
                <w:sz w:val="24"/>
                <w:szCs w:val="24"/>
                <w:lang w:eastAsia="zh-CN"/>
              </w:rPr>
              <w:t>对监控情况进行巡检，有移位或遮挡要进行处理，有软件问题要进行修复；如有学生或教师需要调阅监控，按照学校的要求手续完整情况下要进行调阅服务。（此项目根据实际情况，涉密的需要学校安办的人员亲自处理）</w:t>
            </w:r>
          </w:p>
        </w:tc>
        <w:tc>
          <w:tcPr>
            <w:tcW w:w="1191" w:type="dxa"/>
            <w:shd w:val="clear" w:color="auto" w:fill="auto"/>
            <w:vAlign w:val="center"/>
          </w:tcPr>
          <w:p>
            <w:pPr>
              <w:jc w:val="center"/>
              <w:outlineLvl w:val="2"/>
              <w:rPr>
                <w:rFonts w:ascii="宋体" w:hAnsi="宋体" w:cs="宋体"/>
                <w:bCs/>
                <w:color w:val="auto"/>
                <w:sz w:val="24"/>
              </w:rPr>
            </w:pPr>
            <w:r>
              <w:rPr>
                <w:rFonts w:hint="eastAsia" w:ascii="宋体" w:hAnsi="宋体" w:cs="宋体"/>
                <w:bCs/>
                <w:color w:val="auto"/>
                <w:sz w:val="24"/>
              </w:rPr>
              <w:t>服务期内长期提供</w:t>
            </w:r>
          </w:p>
        </w:tc>
        <w:tc>
          <w:tcPr>
            <w:tcW w:w="1072" w:type="dxa"/>
            <w:vMerge w:val="continue"/>
            <w:shd w:val="clear" w:color="auto" w:fill="auto"/>
            <w:vAlign w:val="center"/>
          </w:tcPr>
          <w:p>
            <w:pPr>
              <w:jc w:val="center"/>
              <w:outlineLvl w:val="2"/>
              <w:rPr>
                <w:rFonts w:hint="default" w:ascii="宋体" w:hAnsi="宋体" w:eastAsia="宋体" w:cs="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3</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劳动服务</w:t>
            </w:r>
          </w:p>
        </w:tc>
        <w:tc>
          <w:tcPr>
            <w:tcW w:w="4997" w:type="dxa"/>
            <w:shd w:val="clear" w:color="auto" w:fill="auto"/>
          </w:tcPr>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对新增监控或更换设备提供劳动服务，学校总务科从有关监控服务的经费对需要更换和增加的设备进行采购，供应商须进行安装调试作业。</w:t>
            </w:r>
          </w:p>
        </w:tc>
        <w:tc>
          <w:tcPr>
            <w:tcW w:w="1191" w:type="dxa"/>
            <w:shd w:val="clear" w:color="auto" w:fill="auto"/>
            <w:vAlign w:val="center"/>
          </w:tcPr>
          <w:p>
            <w:pPr>
              <w:jc w:val="center"/>
              <w:outlineLvl w:val="2"/>
              <w:rPr>
                <w:rFonts w:ascii="宋体" w:hAnsi="宋体" w:cs="宋体"/>
                <w:bCs/>
                <w:color w:val="auto"/>
                <w:sz w:val="24"/>
              </w:rPr>
            </w:pPr>
            <w:r>
              <w:rPr>
                <w:rFonts w:hint="eastAsia" w:ascii="宋体" w:hAnsi="宋体" w:cs="宋体"/>
                <w:bCs/>
                <w:color w:val="auto"/>
                <w:sz w:val="24"/>
              </w:rPr>
              <w:t>服务期内长期提供</w:t>
            </w:r>
          </w:p>
        </w:tc>
        <w:tc>
          <w:tcPr>
            <w:tcW w:w="1072" w:type="dxa"/>
            <w:vMerge w:val="continue"/>
            <w:shd w:val="clear" w:color="auto" w:fill="auto"/>
            <w:vAlign w:val="center"/>
          </w:tcPr>
          <w:p>
            <w:pPr>
              <w:jc w:val="center"/>
              <w:outlineLvl w:val="2"/>
              <w:rPr>
                <w:rFonts w:hint="default" w:ascii="宋体" w:hAnsi="宋体" w:eastAsia="宋体" w:cs="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应急处理</w:t>
            </w:r>
          </w:p>
        </w:tc>
        <w:tc>
          <w:tcPr>
            <w:tcW w:w="4997" w:type="dxa"/>
            <w:shd w:val="clear" w:color="auto" w:fill="auto"/>
          </w:tcPr>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紧急热线：提供 7×24 紧急救援服务；</w:t>
            </w:r>
          </w:p>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远程支持：及时的电话、网络等形式的远程服务；</w:t>
            </w:r>
          </w:p>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现场支持：</w:t>
            </w:r>
            <w:r>
              <w:rPr>
                <w:rFonts w:hint="eastAsia" w:ascii="宋体" w:hAnsi="宋体" w:cs="宋体"/>
                <w:bCs/>
                <w:color w:val="auto"/>
                <w:sz w:val="24"/>
                <w:szCs w:val="24"/>
                <w:lang w:val="en-US" w:eastAsia="zh-CN"/>
              </w:rPr>
              <w:t>每周安排人员到校达3.5天，便于日常维护与临时维修</w:t>
            </w:r>
            <w:r>
              <w:rPr>
                <w:rFonts w:ascii="宋体" w:hAnsi="宋体" w:cs="宋体"/>
                <w:bCs/>
                <w:color w:val="auto"/>
                <w:sz w:val="24"/>
                <w:szCs w:val="24"/>
                <w:lang w:eastAsia="zh-CN"/>
              </w:rPr>
              <w:t>；</w:t>
            </w:r>
          </w:p>
          <w:p>
            <w:pPr>
              <w:pStyle w:val="4"/>
              <w:widowControl w:val="0"/>
              <w:jc w:val="both"/>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事后服务：追踪、总结与报告。</w:t>
            </w:r>
          </w:p>
        </w:tc>
        <w:tc>
          <w:tcPr>
            <w:tcW w:w="1191" w:type="dxa"/>
            <w:shd w:val="clear" w:color="auto" w:fill="auto"/>
            <w:vAlign w:val="center"/>
          </w:tcPr>
          <w:p>
            <w:pPr>
              <w:jc w:val="center"/>
              <w:outlineLvl w:val="2"/>
              <w:rPr>
                <w:rFonts w:ascii="宋体" w:hAnsi="宋体" w:cs="宋体"/>
                <w:bCs/>
                <w:color w:val="auto"/>
                <w:sz w:val="24"/>
              </w:rPr>
            </w:pPr>
            <w:r>
              <w:rPr>
                <w:rFonts w:hint="eastAsia" w:ascii="宋体" w:hAnsi="宋体" w:cs="宋体"/>
                <w:bCs/>
                <w:color w:val="auto"/>
                <w:sz w:val="24"/>
              </w:rPr>
              <w:t>服务期内长期提供</w:t>
            </w:r>
          </w:p>
        </w:tc>
        <w:tc>
          <w:tcPr>
            <w:tcW w:w="1072" w:type="dxa"/>
            <w:vMerge w:val="continue"/>
            <w:shd w:val="clear" w:color="auto" w:fill="auto"/>
            <w:vAlign w:val="center"/>
          </w:tcPr>
          <w:p>
            <w:pPr>
              <w:jc w:val="center"/>
              <w:outlineLvl w:val="2"/>
              <w:rPr>
                <w:rFonts w:hint="eastAsia" w:ascii="宋体" w:hAnsi="宋体" w:eastAsia="宋体" w:cs="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5</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操作培训</w:t>
            </w:r>
          </w:p>
        </w:tc>
        <w:tc>
          <w:tcPr>
            <w:tcW w:w="4997" w:type="dxa"/>
            <w:shd w:val="clear" w:color="auto" w:fill="auto"/>
            <w:vAlign w:val="center"/>
          </w:tcPr>
          <w:p>
            <w:pPr>
              <w:pStyle w:val="4"/>
              <w:widowControl w:val="0"/>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对学校相关人员进行安防系统操作培训。</w:t>
            </w:r>
          </w:p>
        </w:tc>
        <w:tc>
          <w:tcPr>
            <w:tcW w:w="1191" w:type="dxa"/>
            <w:shd w:val="clear" w:color="auto" w:fill="auto"/>
            <w:vAlign w:val="center"/>
          </w:tcPr>
          <w:p>
            <w:pPr>
              <w:jc w:val="center"/>
              <w:outlineLvl w:val="2"/>
              <w:rPr>
                <w:rFonts w:ascii="宋体" w:hAnsi="宋体" w:cs="宋体"/>
                <w:bCs/>
                <w:color w:val="auto"/>
                <w:sz w:val="24"/>
              </w:rPr>
            </w:pPr>
            <w:r>
              <w:rPr>
                <w:rFonts w:hint="eastAsia" w:ascii="宋体" w:hAnsi="宋体" w:cs="宋体"/>
                <w:bCs/>
                <w:color w:val="auto"/>
                <w:sz w:val="24"/>
              </w:rPr>
              <w:t>服务期内长期提供</w:t>
            </w:r>
          </w:p>
        </w:tc>
        <w:tc>
          <w:tcPr>
            <w:tcW w:w="1072" w:type="dxa"/>
            <w:vMerge w:val="continue"/>
            <w:shd w:val="clear" w:color="auto" w:fill="auto"/>
            <w:vAlign w:val="center"/>
          </w:tcPr>
          <w:p>
            <w:pPr>
              <w:jc w:val="center"/>
              <w:outlineLvl w:val="2"/>
              <w:rPr>
                <w:rFonts w:hint="eastAsia" w:ascii="宋体" w:hAnsi="宋体" w:eastAsia="宋体" w:cs="宋体"/>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pStyle w:val="4"/>
              <w:widowControl w:val="0"/>
              <w:jc w:val="center"/>
              <w:outlineLvl w:val="2"/>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6</w:t>
            </w:r>
          </w:p>
        </w:tc>
        <w:tc>
          <w:tcPr>
            <w:tcW w:w="1478" w:type="dxa"/>
            <w:shd w:val="clear" w:color="auto" w:fill="auto"/>
            <w:vAlign w:val="center"/>
          </w:tcPr>
          <w:p>
            <w:pPr>
              <w:pStyle w:val="4"/>
              <w:widowControl w:val="0"/>
              <w:jc w:val="center"/>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系统优化</w:t>
            </w:r>
          </w:p>
        </w:tc>
        <w:tc>
          <w:tcPr>
            <w:tcW w:w="4997" w:type="dxa"/>
            <w:shd w:val="clear" w:color="auto" w:fill="auto"/>
            <w:vAlign w:val="center"/>
          </w:tcPr>
          <w:p>
            <w:pPr>
              <w:pStyle w:val="4"/>
              <w:widowControl w:val="0"/>
              <w:outlineLvl w:val="2"/>
              <w:rPr>
                <w:rFonts w:hint="default" w:ascii="宋体" w:hAnsi="宋体" w:cs="宋体"/>
                <w:bCs/>
                <w:color w:val="auto"/>
                <w:sz w:val="24"/>
                <w:szCs w:val="24"/>
                <w:lang w:eastAsia="zh-CN"/>
              </w:rPr>
            </w:pPr>
            <w:r>
              <w:rPr>
                <w:rFonts w:ascii="宋体" w:hAnsi="宋体" w:cs="宋体"/>
                <w:bCs/>
                <w:color w:val="auto"/>
                <w:sz w:val="24"/>
                <w:szCs w:val="24"/>
                <w:lang w:eastAsia="zh-CN"/>
              </w:rPr>
              <w:t>提供定期的系统优化和升级服务。</w:t>
            </w:r>
          </w:p>
        </w:tc>
        <w:tc>
          <w:tcPr>
            <w:tcW w:w="1191" w:type="dxa"/>
            <w:shd w:val="clear" w:color="auto" w:fill="auto"/>
            <w:vAlign w:val="center"/>
          </w:tcPr>
          <w:p>
            <w:pPr>
              <w:jc w:val="center"/>
              <w:outlineLvl w:val="2"/>
              <w:rPr>
                <w:rFonts w:ascii="宋体" w:hAnsi="宋体" w:cs="宋体"/>
                <w:bCs/>
                <w:color w:val="auto"/>
                <w:sz w:val="24"/>
              </w:rPr>
            </w:pPr>
            <w:r>
              <w:rPr>
                <w:rFonts w:hint="eastAsia" w:ascii="宋体" w:hAnsi="宋体" w:cs="宋体"/>
                <w:bCs/>
                <w:color w:val="auto"/>
                <w:sz w:val="24"/>
              </w:rPr>
              <w:t>服务期内长期提供</w:t>
            </w:r>
          </w:p>
        </w:tc>
        <w:tc>
          <w:tcPr>
            <w:tcW w:w="1072" w:type="dxa"/>
            <w:vMerge w:val="continue"/>
            <w:shd w:val="clear" w:color="auto" w:fill="auto"/>
            <w:vAlign w:val="center"/>
          </w:tcPr>
          <w:p>
            <w:pPr>
              <w:jc w:val="center"/>
              <w:outlineLvl w:val="2"/>
              <w:rPr>
                <w:rFonts w:hint="eastAsia" w:ascii="宋体" w:hAnsi="宋体" w:eastAsia="宋体" w:cs="宋体"/>
                <w:bCs/>
                <w:color w:val="auto"/>
                <w:sz w:val="24"/>
                <w:lang w:val="en-US" w:eastAsia="zh-CN"/>
              </w:rPr>
            </w:pPr>
          </w:p>
        </w:tc>
      </w:tr>
    </w:tbl>
    <w:p>
      <w:pPr>
        <w:widowControl/>
        <w:jc w:val="left"/>
        <w:rPr>
          <w:rFonts w:ascii="楷体" w:hAnsi="楷体" w:eastAsia="楷体"/>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技术及服务要求</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1、人员配置与培训</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（1）配置专业的运维服务团队，具备相关技术背景和经验，按需支撑学校监控系统运维服务。</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（2）对学校相关人员进行安防系统操作培训，提高其操作水平。</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2、巡检与故障处理</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（1）定期对安防系统进行巡检，发现问题及时处理；</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（2）对故障进行快速定位，采取有效措施进行修复；</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（3）对故障原因进行分析，预防类似故障再次发生。</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3、系统升级与优化</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（1）根据学校需求对安防系统进行优化和升级；</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（2）提供新技术的应用和推广，提高系统性能和安全性。</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4、安全保障措施</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（1）对运维服务团队进行严格的安全保密培训；</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（2）确保安防系统的数据安全和保密性；</w:t>
      </w:r>
    </w:p>
    <w:p>
      <w:pPr>
        <w:pStyle w:val="4"/>
        <w:keepNext w:val="0"/>
        <w:keepLines w:val="0"/>
        <w:pageBreakBefore w:val="0"/>
        <w:kinsoku/>
        <w:wordWrap/>
        <w:overflowPunct/>
        <w:topLinePunct w:val="0"/>
        <w:bidi w:val="0"/>
        <w:snapToGrid/>
        <w:spacing w:line="560" w:lineRule="exact"/>
        <w:ind w:firstLine="640" w:firstLineChars="200"/>
        <w:textAlignment w:val="auto"/>
        <w:outlineLvl w:val="2"/>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（3）采取必要的安全措施，防止未经授权的访问和数据泄露。</w:t>
      </w:r>
    </w:p>
    <w:p>
      <w:pPr>
        <w:pStyle w:val="4"/>
        <w:keepNext w:val="0"/>
        <w:keepLines w:val="0"/>
        <w:pageBreakBefore w:val="0"/>
        <w:kinsoku/>
        <w:wordWrap/>
        <w:overflowPunct/>
        <w:topLinePunct w:val="0"/>
        <w:bidi w:val="0"/>
        <w:snapToGrid/>
        <w:spacing w:line="560" w:lineRule="exact"/>
        <w:ind w:firstLine="643" w:firstLineChars="200"/>
        <w:textAlignment w:val="auto"/>
        <w:outlineLvl w:val="2"/>
        <w:rPr>
          <w:rFonts w:hint="default"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三、商务要求(实质性要求）</w:t>
      </w:r>
    </w:p>
    <w:p>
      <w:pPr>
        <w:pStyle w:val="4"/>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3"/>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1、服务期限：从合同之日签订起一年。</w:t>
      </w:r>
    </w:p>
    <w:p>
      <w:pPr>
        <w:pStyle w:val="4"/>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3"/>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2、服务地点：四川省泸州市第一中学校。</w:t>
      </w:r>
    </w:p>
    <w:p>
      <w:pPr>
        <w:pStyle w:val="4"/>
        <w:keepNext w:val="0"/>
        <w:keepLines w:val="0"/>
        <w:pageBreakBefore w:val="0"/>
        <w:numPr>
          <w:ilvl w:val="0"/>
          <w:numId w:val="0"/>
        </w:numPr>
        <w:kinsoku/>
        <w:wordWrap/>
        <w:overflowPunct/>
        <w:topLinePunct w:val="0"/>
        <w:bidi w:val="0"/>
        <w:snapToGrid/>
        <w:spacing w:line="560" w:lineRule="exact"/>
        <w:ind w:firstLine="640" w:firstLineChars="200"/>
        <w:textAlignment w:val="auto"/>
        <w:outlineLvl w:val="3"/>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3、付款方式：按半年支付，每半年支付合同金额的50%。</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4、设备所有权：</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4.1 供应商在服务期内工作所需的所有仪器设备由甲方提供，本维护费包含系统设备换件维修材料费在100元/次以内的材料费和无需换件的系统维护、维修、保养所产生的相关费用由乙方承担其费用，若甲方需对系统进行改造升级或系统设备维修材料费用超过 100元/次的，由甲方承担其费用。（价格核定按照市场询价或网上定价）</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4.2 委托运行维护及管理的全部资产（包括全部产权和建筑物、设备、软件、配套设施、自动站和配套监控系统产生的各类数据信息及相关文档资料）属业采购人所有。未经采购人同意，供应商不得以任何方式对各类财产进行出售、抵押或转移；在委托运营及管理期间，供应商有责任保证上述全部资产的完整、安全并处于良好状态。【提供承诺函】</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5、数据保密要求：在运维期间，供应商应对监控系统数据严格保密。未经采购人同意，供应商不得将本项目的所有资料对外提供。【提供承诺函】</w:t>
      </w:r>
    </w:p>
    <w:p>
      <w:pPr>
        <w:pStyle w:val="5"/>
        <w:keepNext w:val="0"/>
        <w:keepLines w:val="0"/>
        <w:pageBreakBefore w:val="0"/>
        <w:kinsoku/>
        <w:wordWrap/>
        <w:overflowPunct/>
        <w:topLinePunct w:val="0"/>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6、其他商务要求：</w:t>
      </w:r>
    </w:p>
    <w:p>
      <w:r>
        <w:rPr>
          <w:rFonts w:hint="eastAsia" w:ascii="方正仿宋简体" w:hAnsi="方正仿宋简体" w:eastAsia="方正仿宋简体" w:cs="方正仿宋简体"/>
          <w:kern w:val="2"/>
          <w:sz w:val="32"/>
          <w:szCs w:val="32"/>
          <w:lang w:val="en-US" w:eastAsia="zh-CN" w:bidi="ar-SA"/>
        </w:rPr>
        <w:t>6.1 供应商在服务过程中所发生的所有安全事故和生产事故，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A2D638-9503-4338-A6A5-8142FB39B444}"/>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1F702240-A285-49A0-8E7D-D379376FD6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06A6E"/>
    <w:multiLevelType w:val="singleLevel"/>
    <w:tmpl w:val="11006A6E"/>
    <w:lvl w:ilvl="0" w:tentative="0">
      <w:start w:val="2"/>
      <w:numFmt w:val="chineseCounting"/>
      <w:suff w:val="nothing"/>
      <w:lvlText w:val="%1、"/>
      <w:lvlJc w:val="left"/>
      <w:rPr>
        <w:rFonts w:hint="eastAsia"/>
      </w:rPr>
    </w:lvl>
  </w:abstractNum>
  <w:abstractNum w:abstractNumId="1">
    <w:nsid w:val="772D570D"/>
    <w:multiLevelType w:val="singleLevel"/>
    <w:tmpl w:val="772D570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zEwNzdiY2YwMThjYTIxNWE0ODlkZGM0MGZjMmIifQ=="/>
  </w:docVars>
  <w:rsids>
    <w:rsidRoot w:val="1A7F1474"/>
    <w:rsid w:val="1A7F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autoRedefine/>
    <w:qFormat/>
    <w:uiPriority w:val="0"/>
    <w:rPr>
      <w:rFonts w:hint="eastAsia" w:ascii="Calibri" w:hAnsi="Calibri" w:eastAsia="宋体" w:cs="Times New Roman"/>
      <w:kern w:val="0"/>
      <w:sz w:val="20"/>
      <w:szCs w:val="20"/>
      <w:lang w:val="en-US" w:eastAsia="zh-Hans" w:bidi="ar-SA"/>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2024-03-27T08:12:00Z</dcterms:created>
  <dc:creator>小猫</dc:creator>
  <cp:lastModifiedBy>小猫</cp:lastModifiedBy>
  <dcterms:modified xsi:type="dcterms:W3CDTF">2024-03-27T08:12:57Z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DCD942E4D02948EF94BF8DEDA2E8F5C0_11</vt:lpwstr>
  </property>
</Properties>
</file>